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8B74" w14:textId="77777777" w:rsidR="00335E1A" w:rsidRDefault="00B54FDB" w:rsidP="00335E1A">
      <w:pPr>
        <w:pStyle w:val="Heading1"/>
        <w:spacing w:before="59"/>
        <w:ind w:left="1080" w:right="1170" w:firstLine="0"/>
        <w:jc w:val="center"/>
        <w:rPr>
          <w:rFonts w:ascii="Century Schoolbook" w:hAnsi="Century Schoolbook"/>
          <w:sz w:val="32"/>
          <w:szCs w:val="32"/>
        </w:rPr>
      </w:pPr>
      <w:r w:rsidRPr="00B54FDB">
        <w:rPr>
          <w:rFonts w:ascii="Century Schoolbook" w:hAnsi="Century Schoolbook"/>
          <w:sz w:val="32"/>
          <w:szCs w:val="32"/>
        </w:rPr>
        <w:t xml:space="preserve">LOCAL RULES OF </w:t>
      </w:r>
    </w:p>
    <w:p w14:paraId="5E845E17" w14:textId="59F06109" w:rsidR="00335E1A" w:rsidRDefault="00B54FDB" w:rsidP="00335E1A">
      <w:pPr>
        <w:pStyle w:val="Heading1"/>
        <w:spacing w:before="59"/>
        <w:ind w:left="1080" w:right="1170" w:firstLine="0"/>
        <w:jc w:val="center"/>
        <w:rPr>
          <w:rFonts w:ascii="Century Schoolbook" w:hAnsi="Century Schoolbook"/>
          <w:sz w:val="32"/>
          <w:szCs w:val="32"/>
        </w:rPr>
      </w:pPr>
      <w:r w:rsidRPr="00B54FDB">
        <w:rPr>
          <w:rFonts w:ascii="Century Schoolbook" w:hAnsi="Century Schoolbook"/>
          <w:sz w:val="32"/>
          <w:szCs w:val="32"/>
        </w:rPr>
        <w:t xml:space="preserve">THE COURT OF APPEAL </w:t>
      </w:r>
    </w:p>
    <w:p w14:paraId="17FAE374" w14:textId="68E61A1B" w:rsidR="00B54FDB" w:rsidRPr="00B54FDB" w:rsidRDefault="00B54FDB" w:rsidP="00335E1A">
      <w:pPr>
        <w:pStyle w:val="Heading1"/>
        <w:spacing w:before="59"/>
        <w:ind w:left="1080" w:right="1170" w:firstLine="0"/>
        <w:jc w:val="center"/>
        <w:rPr>
          <w:rFonts w:ascii="Century Schoolbook" w:hAnsi="Century Schoolbook"/>
          <w:sz w:val="32"/>
          <w:szCs w:val="32"/>
        </w:rPr>
      </w:pPr>
      <w:r w:rsidRPr="00B54FDB">
        <w:rPr>
          <w:rFonts w:ascii="Century Schoolbook" w:hAnsi="Century Schoolbook"/>
          <w:sz w:val="32"/>
          <w:szCs w:val="32"/>
        </w:rPr>
        <w:t>FIRST APPELLATE DISTRICT</w:t>
      </w:r>
    </w:p>
    <w:p w14:paraId="0EF492C4" w14:textId="77777777" w:rsidR="00B54FDB" w:rsidRPr="00B54FDB" w:rsidRDefault="00B54FDB" w:rsidP="00B54FDB">
      <w:pPr>
        <w:pStyle w:val="BodyText"/>
        <w:spacing w:before="3"/>
        <w:ind w:left="1080" w:right="1170" w:firstLine="1003"/>
        <w:jc w:val="center"/>
        <w:rPr>
          <w:rFonts w:ascii="Century Schoolbook" w:hAnsi="Century Schoolbook"/>
          <w:b/>
          <w:sz w:val="32"/>
          <w:szCs w:val="32"/>
        </w:rPr>
      </w:pPr>
    </w:p>
    <w:p w14:paraId="57AF1077" w14:textId="77777777" w:rsidR="00B54FDB" w:rsidRDefault="00B54FDB" w:rsidP="00B54FDB">
      <w:pPr>
        <w:pStyle w:val="BodyText"/>
        <w:ind w:left="1593"/>
      </w:pPr>
      <w:r>
        <w:t>Published pursuant to California Rules of Court, rule 10.1030</w:t>
      </w:r>
    </w:p>
    <w:p w14:paraId="721785F6" w14:textId="77777777" w:rsidR="00B54FDB" w:rsidRDefault="00B54FDB" w:rsidP="00B54FDB">
      <w:pPr>
        <w:pStyle w:val="BodyText"/>
        <w:spacing w:before="6"/>
      </w:pPr>
    </w:p>
    <w:p w14:paraId="0B7B1B51" w14:textId="7EA1ED4F" w:rsidR="00B54FDB" w:rsidRDefault="00B54FDB" w:rsidP="00B54FDB">
      <w:pPr>
        <w:pStyle w:val="Heading1"/>
        <w:spacing w:line="480" w:lineRule="auto"/>
        <w:ind w:right="20" w:hanging="29"/>
        <w:jc w:val="center"/>
      </w:pPr>
      <w:r>
        <w:t xml:space="preserve">As amended effective </w:t>
      </w:r>
      <w:r w:rsidR="002644F1">
        <w:t>July 24</w:t>
      </w:r>
      <w:r>
        <w:t>, 20</w:t>
      </w:r>
      <w:r w:rsidR="00335E1A">
        <w:t>2</w:t>
      </w:r>
      <w:r w:rsidR="003C717A">
        <w:t>6</w:t>
      </w:r>
      <w:r>
        <w:t xml:space="preserve"> </w:t>
      </w:r>
    </w:p>
    <w:p w14:paraId="7AA53775" w14:textId="2F4D831C" w:rsidR="00A842C0" w:rsidRDefault="00A842C0" w:rsidP="00A842C0">
      <w:pPr>
        <w:jc w:val="center"/>
        <w:rPr>
          <w:rFonts w:ascii="Century Schoolbook" w:hAnsi="Century Schoolbook"/>
          <w:b/>
          <w:bCs/>
          <w:sz w:val="32"/>
          <w:szCs w:val="32"/>
        </w:rPr>
      </w:pPr>
    </w:p>
    <w:p w14:paraId="79C39208" w14:textId="6218B0CE" w:rsidR="00A842C0" w:rsidRDefault="00A842C0" w:rsidP="00A842C0">
      <w:pPr>
        <w:pStyle w:val="NormalWeb"/>
        <w:spacing w:before="0" w:beforeAutospacing="0" w:after="180" w:afterAutospacing="0"/>
        <w:ind w:firstLine="600"/>
        <w:rPr>
          <w:rFonts w:ascii="Century Schoolbook" w:hAnsi="Century Schoolbook"/>
          <w:b/>
          <w:bCs/>
          <w:sz w:val="32"/>
          <w:szCs w:val="32"/>
        </w:rPr>
      </w:pPr>
      <w:r w:rsidRPr="00A842C0">
        <w:rPr>
          <w:rFonts w:ascii="Century Schoolbook" w:hAnsi="Century Schoolbook"/>
          <w:b/>
          <w:bCs/>
          <w:sz w:val="32"/>
          <w:szCs w:val="32"/>
        </w:rPr>
        <w:t xml:space="preserve">Local Rule </w:t>
      </w:r>
      <w:r w:rsidR="00A464B3">
        <w:rPr>
          <w:rFonts w:ascii="Century Schoolbook" w:hAnsi="Century Schoolbook"/>
          <w:b/>
          <w:bCs/>
          <w:sz w:val="32"/>
          <w:szCs w:val="32"/>
        </w:rPr>
        <w:t>5</w:t>
      </w:r>
      <w:r w:rsidRPr="00A842C0">
        <w:rPr>
          <w:rFonts w:ascii="Century Schoolbook" w:hAnsi="Century Schoolbook"/>
          <w:b/>
          <w:bCs/>
          <w:sz w:val="32"/>
          <w:szCs w:val="32"/>
        </w:rPr>
        <w:t>:</w:t>
      </w:r>
    </w:p>
    <w:p w14:paraId="339B44DD" w14:textId="3601D28A" w:rsidR="00BA1859" w:rsidRPr="0030498C" w:rsidRDefault="00BA1859" w:rsidP="00A842C0">
      <w:pPr>
        <w:pStyle w:val="NormalWeb"/>
        <w:spacing w:before="0" w:beforeAutospacing="0" w:after="180" w:afterAutospacing="0"/>
        <w:ind w:firstLine="600"/>
        <w:rPr>
          <w:rFonts w:ascii="Century Schoolbook" w:hAnsi="Century Schoolbook"/>
          <w:sz w:val="32"/>
          <w:szCs w:val="32"/>
        </w:rPr>
      </w:pPr>
      <w:r w:rsidRPr="0030498C">
        <w:rPr>
          <w:rFonts w:ascii="Century Schoolbook" w:hAnsi="Century Schoolbook"/>
          <w:b/>
          <w:bCs/>
          <w:sz w:val="32"/>
          <w:szCs w:val="32"/>
        </w:rPr>
        <w:tab/>
      </w:r>
      <w:r w:rsidR="00A464B3" w:rsidRPr="0030498C">
        <w:rPr>
          <w:rFonts w:ascii="Century Schoolbook" w:hAnsi="Century Schoolbook"/>
          <w:b/>
          <w:bCs/>
          <w:sz w:val="32"/>
          <w:szCs w:val="32"/>
        </w:rPr>
        <w:t xml:space="preserve">Parties’ Stipulation </w:t>
      </w:r>
      <w:r w:rsidR="004601CE" w:rsidRPr="0030498C">
        <w:rPr>
          <w:rFonts w:ascii="Century Schoolbook" w:hAnsi="Century Schoolbook"/>
          <w:b/>
          <w:bCs/>
          <w:sz w:val="32"/>
          <w:szCs w:val="32"/>
        </w:rPr>
        <w:t xml:space="preserve">to Use Original Superior Court File as the </w:t>
      </w:r>
      <w:r w:rsidRPr="0030498C">
        <w:rPr>
          <w:rFonts w:ascii="Century Schoolbook" w:hAnsi="Century Schoolbook"/>
          <w:b/>
          <w:bCs/>
          <w:sz w:val="32"/>
          <w:szCs w:val="32"/>
        </w:rPr>
        <w:t>A</w:t>
      </w:r>
      <w:r w:rsidR="004601CE" w:rsidRPr="0030498C">
        <w:rPr>
          <w:rFonts w:ascii="Century Schoolbook" w:hAnsi="Century Schoolbook"/>
          <w:b/>
          <w:bCs/>
          <w:sz w:val="32"/>
          <w:szCs w:val="32"/>
        </w:rPr>
        <w:t>ppella</w:t>
      </w:r>
      <w:r w:rsidRPr="0030498C">
        <w:rPr>
          <w:rFonts w:ascii="Century Schoolbook" w:hAnsi="Century Schoolbook"/>
          <w:b/>
          <w:bCs/>
          <w:sz w:val="32"/>
          <w:szCs w:val="32"/>
        </w:rPr>
        <w:t>t</w:t>
      </w:r>
      <w:r w:rsidR="004601CE" w:rsidRPr="0030498C">
        <w:rPr>
          <w:rFonts w:ascii="Century Schoolbook" w:hAnsi="Century Schoolbook"/>
          <w:b/>
          <w:bCs/>
          <w:sz w:val="32"/>
          <w:szCs w:val="32"/>
        </w:rPr>
        <w:t>e Record</w:t>
      </w:r>
    </w:p>
    <w:p w14:paraId="0EC59BA1" w14:textId="261B8AB8" w:rsidR="00B46996" w:rsidRPr="00BF4FF8" w:rsidRDefault="00EF5E95" w:rsidP="00A842C0">
      <w:pPr>
        <w:pStyle w:val="NormalWeb"/>
        <w:spacing w:before="0" w:beforeAutospacing="0" w:after="180" w:afterAutospacing="0"/>
        <w:ind w:firstLine="600"/>
        <w:rPr>
          <w:rFonts w:ascii="Century Schoolbook" w:hAnsi="Century Schoolbook"/>
          <w:strike/>
          <w:sz w:val="28"/>
          <w:szCs w:val="28"/>
        </w:rPr>
      </w:pPr>
      <w:r w:rsidRPr="00BF4FF8">
        <w:rPr>
          <w:rFonts w:ascii="Century Schoolbook" w:eastAsiaTheme="minorHAnsi" w:hAnsi="Century Schoolbook" w:cstheme="minorBidi"/>
          <w:strike/>
          <w:color w:val="1B1B1B"/>
          <w:spacing w:val="3"/>
          <w:sz w:val="28"/>
          <w:szCs w:val="28"/>
        </w:rPr>
        <w:t xml:space="preserve">The procedures set forth in California Rules of Court, rule 8.128 allowing the parties to stipulate </w:t>
      </w:r>
      <w:proofErr w:type="gramStart"/>
      <w:r w:rsidRPr="00BF4FF8">
        <w:rPr>
          <w:rFonts w:ascii="Century Schoolbook" w:eastAsiaTheme="minorHAnsi" w:hAnsi="Century Schoolbook" w:cstheme="minorBidi"/>
          <w:strike/>
          <w:color w:val="1B1B1B"/>
          <w:spacing w:val="3"/>
          <w:sz w:val="28"/>
          <w:szCs w:val="28"/>
        </w:rPr>
        <w:t>to using</w:t>
      </w:r>
      <w:proofErr w:type="gramEnd"/>
      <w:r w:rsidRPr="00BF4FF8">
        <w:rPr>
          <w:rFonts w:ascii="Century Schoolbook" w:eastAsiaTheme="minorHAnsi" w:hAnsi="Century Schoolbook" w:cstheme="minorBidi"/>
          <w:strike/>
          <w:color w:val="1B1B1B"/>
          <w:spacing w:val="3"/>
          <w:sz w:val="28"/>
          <w:szCs w:val="28"/>
        </w:rPr>
        <w:t xml:space="preserve"> the original superior court file in lieu of the clerk’s transcript are approved for use by the superior courts in this district in all civil cases in which the trial court retains no continuing jurisdiction. Any stipulation under this rule shall be substantially in the form of the Stipulation for Use of Original Superior Court File in Lieu of Clerk’s Transcript, which is available on the court’s </w:t>
      </w:r>
      <w:hyperlink r:id="rId6" w:history="1">
        <w:r w:rsidRPr="00BF4FF8">
          <w:rPr>
            <w:rFonts w:ascii="Century Schoolbook" w:eastAsiaTheme="minorHAnsi" w:hAnsi="Century Schoolbook" w:cstheme="minorBidi"/>
            <w:strike/>
            <w:color w:val="146BAD"/>
            <w:spacing w:val="3"/>
            <w:sz w:val="28"/>
            <w:szCs w:val="28"/>
            <w:u w:val="single"/>
          </w:rPr>
          <w:t>Local Rules and Orders</w:t>
        </w:r>
      </w:hyperlink>
      <w:r w:rsidRPr="00BF4FF8">
        <w:rPr>
          <w:rFonts w:ascii="Century Schoolbook" w:eastAsiaTheme="minorHAnsi" w:hAnsi="Century Schoolbook" w:cstheme="minorBidi"/>
          <w:strike/>
          <w:color w:val="1B1B1B"/>
          <w:spacing w:val="3"/>
          <w:sz w:val="28"/>
          <w:szCs w:val="28"/>
        </w:rPr>
        <w:t> page.</w:t>
      </w:r>
    </w:p>
    <w:p w14:paraId="3C5BB2FA" w14:textId="2EE71A75" w:rsidR="00A842C0" w:rsidRDefault="00A842C0" w:rsidP="00A842C0">
      <w:pPr>
        <w:pStyle w:val="NormalWeb"/>
        <w:spacing w:before="0" w:beforeAutospacing="0" w:after="180" w:afterAutospacing="0"/>
        <w:rPr>
          <w:rStyle w:val="Emphasis"/>
          <w:rFonts w:ascii="Century Schoolbook" w:hAnsi="Century Schoolbook" w:cs="Arial"/>
          <w:color w:val="333333"/>
          <w:sz w:val="28"/>
          <w:szCs w:val="28"/>
        </w:rPr>
      </w:pPr>
      <w:r w:rsidRPr="00A842C0">
        <w:rPr>
          <w:rStyle w:val="Emphasis"/>
          <w:rFonts w:ascii="Century Schoolbook" w:hAnsi="Century Schoolbook" w:cs="Arial"/>
          <w:color w:val="333333"/>
          <w:sz w:val="28"/>
          <w:szCs w:val="28"/>
        </w:rPr>
        <w:t>(Adopted, eff. August 23, 2019</w:t>
      </w:r>
      <w:r w:rsidR="00F76756">
        <w:rPr>
          <w:rStyle w:val="Emphasis"/>
          <w:rFonts w:ascii="Century Schoolbook" w:hAnsi="Century Schoolbook" w:cs="Arial"/>
          <w:color w:val="333333"/>
          <w:sz w:val="28"/>
          <w:szCs w:val="28"/>
        </w:rPr>
        <w:t xml:space="preserve">; </w:t>
      </w:r>
      <w:r w:rsidR="00235F73">
        <w:rPr>
          <w:rStyle w:val="Emphasis"/>
          <w:rFonts w:ascii="Century Schoolbook" w:hAnsi="Century Schoolbook" w:cs="Arial"/>
          <w:color w:val="333333"/>
          <w:sz w:val="28"/>
          <w:szCs w:val="28"/>
        </w:rPr>
        <w:t xml:space="preserve">repealed, </w:t>
      </w:r>
      <w:r w:rsidR="00F76756">
        <w:rPr>
          <w:rStyle w:val="Emphasis"/>
          <w:rFonts w:ascii="Century Schoolbook" w:hAnsi="Century Schoolbook" w:cs="Arial"/>
          <w:color w:val="333333"/>
          <w:sz w:val="28"/>
          <w:szCs w:val="28"/>
        </w:rPr>
        <w:t xml:space="preserve">eff. </w:t>
      </w:r>
      <w:r w:rsidR="002644F1">
        <w:rPr>
          <w:rStyle w:val="Emphasis"/>
          <w:rFonts w:ascii="Century Schoolbook" w:hAnsi="Century Schoolbook" w:cs="Arial"/>
          <w:color w:val="333333"/>
          <w:sz w:val="28"/>
          <w:szCs w:val="28"/>
        </w:rPr>
        <w:t>July 24</w:t>
      </w:r>
      <w:r w:rsidR="00F76756">
        <w:rPr>
          <w:rStyle w:val="Emphasis"/>
          <w:rFonts w:ascii="Century Schoolbook" w:hAnsi="Century Schoolbook" w:cs="Arial"/>
          <w:color w:val="333333"/>
          <w:sz w:val="28"/>
          <w:szCs w:val="28"/>
        </w:rPr>
        <w:t>, 202</w:t>
      </w:r>
      <w:r w:rsidR="00235F73">
        <w:rPr>
          <w:rStyle w:val="Emphasis"/>
          <w:rFonts w:ascii="Century Schoolbook" w:hAnsi="Century Schoolbook" w:cs="Arial"/>
          <w:color w:val="333333"/>
          <w:sz w:val="28"/>
          <w:szCs w:val="28"/>
        </w:rPr>
        <w:t>6</w:t>
      </w:r>
      <w:r w:rsidRPr="00A842C0">
        <w:rPr>
          <w:rStyle w:val="Emphasis"/>
          <w:rFonts w:ascii="Century Schoolbook" w:hAnsi="Century Schoolbook" w:cs="Arial"/>
          <w:color w:val="333333"/>
          <w:sz w:val="28"/>
          <w:szCs w:val="28"/>
        </w:rPr>
        <w:t>.)</w:t>
      </w:r>
    </w:p>
    <w:p w14:paraId="72CA9374" w14:textId="6087D04F" w:rsidR="00A842C0" w:rsidRDefault="00A842C0" w:rsidP="00A842C0">
      <w:pPr>
        <w:pStyle w:val="NormalWeb"/>
        <w:spacing w:before="0" w:beforeAutospacing="0" w:after="180" w:afterAutospacing="0"/>
        <w:rPr>
          <w:rStyle w:val="Emphasis"/>
          <w:rFonts w:ascii="Century Schoolbook" w:hAnsi="Century Schoolbook" w:cs="Arial"/>
          <w:color w:val="333333"/>
          <w:sz w:val="28"/>
          <w:szCs w:val="28"/>
        </w:rPr>
      </w:pPr>
    </w:p>
    <w:p w14:paraId="4B5191A2" w14:textId="70A7E685" w:rsidR="003834B3" w:rsidRDefault="003834B3" w:rsidP="003834B3">
      <w:pPr>
        <w:pStyle w:val="NormalWeb"/>
        <w:spacing w:before="0" w:beforeAutospacing="0" w:after="180" w:afterAutospacing="0"/>
        <w:rPr>
          <w:rFonts w:ascii="Century Schoolbook" w:hAnsi="Century Schoolbook" w:cs="Arial"/>
          <w:color w:val="333333"/>
          <w:sz w:val="28"/>
          <w:szCs w:val="28"/>
        </w:rPr>
      </w:pPr>
      <w:r w:rsidRPr="003834B3">
        <w:rPr>
          <w:rFonts w:ascii="Century Schoolbook" w:hAnsi="Century Schoolbook" w:cs="Arial"/>
          <w:color w:val="333333"/>
          <w:sz w:val="28"/>
          <w:szCs w:val="28"/>
        </w:rPr>
        <w:t> </w:t>
      </w:r>
    </w:p>
    <w:p w14:paraId="0733B4FF" w14:textId="77777777" w:rsidR="00B53248" w:rsidRDefault="00B53248" w:rsidP="00B53248">
      <w:pPr>
        <w:pStyle w:val="NormalWeb"/>
        <w:spacing w:before="0" w:beforeAutospacing="0" w:after="180" w:afterAutospacing="0"/>
        <w:ind w:firstLine="600"/>
        <w:rPr>
          <w:rFonts w:ascii="Century Schoolbook" w:hAnsi="Century Schoolbook"/>
          <w:b/>
          <w:bCs/>
          <w:sz w:val="32"/>
          <w:szCs w:val="32"/>
        </w:rPr>
      </w:pPr>
      <w:r w:rsidRPr="00A842C0">
        <w:rPr>
          <w:rFonts w:ascii="Century Schoolbook" w:hAnsi="Century Schoolbook"/>
          <w:b/>
          <w:bCs/>
          <w:sz w:val="32"/>
          <w:szCs w:val="32"/>
        </w:rPr>
        <w:t>Local Rule 13:</w:t>
      </w:r>
    </w:p>
    <w:p w14:paraId="65B34E09" w14:textId="77777777" w:rsidR="00B53248" w:rsidRPr="00A842C0" w:rsidRDefault="00B53248" w:rsidP="00B53248">
      <w:pPr>
        <w:pStyle w:val="NormalWeb"/>
        <w:spacing w:before="0" w:beforeAutospacing="0" w:after="180" w:afterAutospacing="0"/>
        <w:ind w:firstLine="600"/>
        <w:rPr>
          <w:rFonts w:ascii="Century Schoolbook" w:hAnsi="Century Schoolbook"/>
          <w:b/>
          <w:bCs/>
          <w:sz w:val="32"/>
          <w:szCs w:val="32"/>
        </w:rPr>
      </w:pPr>
      <w:r>
        <w:rPr>
          <w:rFonts w:ascii="Century Schoolbook" w:hAnsi="Century Schoolbook"/>
          <w:b/>
          <w:bCs/>
          <w:sz w:val="32"/>
          <w:szCs w:val="32"/>
        </w:rPr>
        <w:tab/>
        <w:t>Oral Argument</w:t>
      </w:r>
    </w:p>
    <w:p w14:paraId="2AC5A057" w14:textId="77777777" w:rsidR="00B53248" w:rsidRPr="00A842C0" w:rsidRDefault="00B53248" w:rsidP="00B53248">
      <w:pPr>
        <w:pStyle w:val="NormalWeb"/>
        <w:spacing w:before="0" w:beforeAutospacing="0" w:after="180" w:afterAutospacing="0"/>
        <w:ind w:firstLine="600"/>
        <w:rPr>
          <w:rFonts w:ascii="Century Schoolbook" w:hAnsi="Century Schoolbook" w:cs="Arial"/>
          <w:color w:val="333333"/>
          <w:sz w:val="28"/>
          <w:szCs w:val="28"/>
        </w:rPr>
      </w:pPr>
      <w:r w:rsidRPr="00A842C0">
        <w:rPr>
          <w:rStyle w:val="Strong"/>
          <w:rFonts w:ascii="Century Schoolbook" w:hAnsi="Century Schoolbook" w:cs="Arial"/>
          <w:color w:val="333333"/>
          <w:sz w:val="28"/>
          <w:szCs w:val="28"/>
        </w:rPr>
        <w:t xml:space="preserve"> </w:t>
      </w:r>
      <w:proofErr w:type="gramStart"/>
      <w:r w:rsidRPr="00A842C0">
        <w:rPr>
          <w:rStyle w:val="Strong"/>
          <w:rFonts w:ascii="Century Schoolbook" w:hAnsi="Century Schoolbook" w:cs="Arial"/>
          <w:color w:val="333333"/>
          <w:sz w:val="28"/>
          <w:szCs w:val="28"/>
        </w:rPr>
        <w:t>a)  [</w:t>
      </w:r>
      <w:proofErr w:type="gramEnd"/>
      <w:r w:rsidRPr="00A842C0">
        <w:rPr>
          <w:rStyle w:val="Strong"/>
          <w:rFonts w:ascii="Century Schoolbook" w:hAnsi="Century Schoolbook" w:cs="Arial"/>
          <w:color w:val="333333"/>
          <w:sz w:val="28"/>
          <w:szCs w:val="28"/>
        </w:rPr>
        <w:t>Option to Waive Argument]</w:t>
      </w:r>
      <w:r w:rsidRPr="00A842C0">
        <w:rPr>
          <w:rFonts w:ascii="Century Schoolbook" w:hAnsi="Century Schoolbook" w:cs="Arial"/>
          <w:color w:val="333333"/>
          <w:sz w:val="28"/>
          <w:szCs w:val="28"/>
        </w:rPr>
        <w:t xml:space="preserve">  After a case has been briefed and assigned to a judicial panel for resolution, the parties will be notified that they may elect to waive oral argument.  The court attaches no significance to waiving </w:t>
      </w:r>
      <w:r w:rsidRPr="00A842C0">
        <w:rPr>
          <w:rFonts w:ascii="Century Schoolbook" w:hAnsi="Century Schoolbook" w:cs="Arial"/>
          <w:color w:val="333333"/>
          <w:sz w:val="28"/>
          <w:szCs w:val="28"/>
        </w:rPr>
        <w:lastRenderedPageBreak/>
        <w:t>argument, and it understands that oral argument may be unnecessary when the parties’ positions have been fully briefed.</w:t>
      </w:r>
    </w:p>
    <w:p w14:paraId="7AA4E0C0" w14:textId="33E9A74B" w:rsidR="00B53248" w:rsidRPr="00A842C0" w:rsidRDefault="00B53248" w:rsidP="00B53248">
      <w:pPr>
        <w:pStyle w:val="NormalWeb"/>
        <w:spacing w:before="0" w:beforeAutospacing="0" w:after="180" w:afterAutospacing="0"/>
        <w:ind w:firstLine="600"/>
        <w:rPr>
          <w:rFonts w:ascii="Century Schoolbook" w:hAnsi="Century Schoolbook" w:cs="Arial"/>
          <w:color w:val="333333"/>
          <w:sz w:val="28"/>
          <w:szCs w:val="28"/>
        </w:rPr>
      </w:pPr>
      <w:r w:rsidRPr="00A842C0">
        <w:rPr>
          <w:rStyle w:val="Strong"/>
          <w:rFonts w:ascii="Century Schoolbook" w:hAnsi="Century Schoolbook" w:cs="Arial"/>
          <w:color w:val="333333"/>
          <w:sz w:val="28"/>
          <w:szCs w:val="28"/>
        </w:rPr>
        <w:t>(b)  [Notice and Procedure</w:t>
      </w:r>
      <w:r w:rsidRPr="00D76E7E">
        <w:rPr>
          <w:rStyle w:val="Strong"/>
          <w:rFonts w:ascii="Century Schoolbook" w:hAnsi="Century Schoolbook" w:cs="Arial"/>
          <w:color w:val="333333"/>
          <w:sz w:val="28"/>
          <w:szCs w:val="28"/>
        </w:rPr>
        <w:t>]</w:t>
      </w:r>
      <w:r w:rsidRPr="00D76E7E">
        <w:rPr>
          <w:rFonts w:ascii="Century Schoolbook" w:hAnsi="Century Schoolbook" w:cs="Arial"/>
          <w:color w:val="333333"/>
          <w:sz w:val="28"/>
          <w:szCs w:val="28"/>
        </w:rPr>
        <w:t xml:space="preserve">  An election to present oral argument must be made in writing and must contain the following information:  (1) the number and title of the case; (2) the name of the person who will present oral argument; (3) if that person is an attorney, the name of the party whom he or she is representing; and (4) whether the oral argument will be presented in person or remotely.  </w:t>
      </w:r>
      <w:r w:rsidR="001838FA">
        <w:rPr>
          <w:rFonts w:ascii="Century Schoolbook" w:hAnsi="Century Schoolbook" w:cs="Arial"/>
          <w:color w:val="333333"/>
          <w:sz w:val="28"/>
          <w:szCs w:val="28"/>
          <w:u w:val="single"/>
        </w:rPr>
        <w:t xml:space="preserve">If you fail to advise the court that you </w:t>
      </w:r>
      <w:r w:rsidR="0044764C">
        <w:rPr>
          <w:rFonts w:ascii="Century Schoolbook" w:hAnsi="Century Schoolbook" w:cs="Arial"/>
          <w:color w:val="333333"/>
          <w:sz w:val="28"/>
          <w:szCs w:val="28"/>
          <w:u w:val="single"/>
        </w:rPr>
        <w:t xml:space="preserve">plan to appear remotely, </w:t>
      </w:r>
      <w:r w:rsidR="007D3E9B">
        <w:rPr>
          <w:rFonts w:ascii="Century Schoolbook" w:hAnsi="Century Schoolbook" w:cs="Arial"/>
          <w:color w:val="333333"/>
          <w:sz w:val="28"/>
          <w:szCs w:val="28"/>
          <w:u w:val="single"/>
        </w:rPr>
        <w:t xml:space="preserve">oral argument will be conducted in person in the courtroom. </w:t>
      </w:r>
      <w:r w:rsidRPr="00D76E7E">
        <w:rPr>
          <w:rFonts w:ascii="Century Schoolbook" w:hAnsi="Century Schoolbook" w:cs="Arial"/>
          <w:color w:val="333333"/>
          <w:sz w:val="28"/>
          <w:szCs w:val="28"/>
        </w:rPr>
        <w:t>If a party wishes to change from in person to remote argument, or vice versa, he or she must promptly inform the divisional deputy clerk and the opposing parties.</w:t>
      </w:r>
      <w:r>
        <w:rPr>
          <w:rFonts w:ascii="Century Schoolbook" w:hAnsi="Century Schoolbook" w:cs="Arial"/>
          <w:color w:val="333333"/>
          <w:sz w:val="28"/>
          <w:szCs w:val="28"/>
        </w:rPr>
        <w:t xml:space="preserve">  </w:t>
      </w:r>
      <w:r w:rsidRPr="00A842C0">
        <w:rPr>
          <w:rFonts w:ascii="Century Schoolbook" w:hAnsi="Century Schoolbook" w:cs="Arial"/>
          <w:color w:val="333333"/>
          <w:sz w:val="28"/>
          <w:szCs w:val="28"/>
        </w:rPr>
        <w:t>If any party timely elects to proceed with oral argument, the court will notify the parties of the time and date of the argument.  The oral argument will be conducted in accordance with the California Rules of Court.</w:t>
      </w:r>
    </w:p>
    <w:p w14:paraId="224F19F7" w14:textId="77777777" w:rsidR="00B53248" w:rsidRPr="00A842C0" w:rsidRDefault="00B53248" w:rsidP="00B53248">
      <w:pPr>
        <w:pStyle w:val="NormalWeb"/>
        <w:spacing w:before="0" w:beforeAutospacing="0" w:after="180" w:afterAutospacing="0"/>
        <w:ind w:firstLine="600"/>
        <w:rPr>
          <w:rFonts w:ascii="Century Schoolbook" w:hAnsi="Century Schoolbook" w:cs="Arial"/>
          <w:color w:val="333333"/>
          <w:sz w:val="28"/>
          <w:szCs w:val="28"/>
        </w:rPr>
      </w:pPr>
      <w:proofErr w:type="gramStart"/>
      <w:r w:rsidRPr="00A842C0">
        <w:rPr>
          <w:rStyle w:val="Strong"/>
          <w:rFonts w:ascii="Century Schoolbook" w:hAnsi="Century Schoolbook" w:cs="Arial"/>
          <w:color w:val="333333"/>
          <w:sz w:val="28"/>
          <w:szCs w:val="28"/>
        </w:rPr>
        <w:t>(c)  [</w:t>
      </w:r>
      <w:proofErr w:type="gramEnd"/>
      <w:r w:rsidRPr="00A842C0">
        <w:rPr>
          <w:rStyle w:val="Strong"/>
          <w:rFonts w:ascii="Century Schoolbook" w:hAnsi="Century Schoolbook" w:cs="Arial"/>
          <w:color w:val="333333"/>
          <w:sz w:val="28"/>
          <w:szCs w:val="28"/>
        </w:rPr>
        <w:t>Time]</w:t>
      </w:r>
      <w:r w:rsidRPr="00A842C0">
        <w:rPr>
          <w:rFonts w:ascii="Century Schoolbook" w:hAnsi="Century Schoolbook" w:cs="Arial"/>
          <w:color w:val="333333"/>
          <w:sz w:val="28"/>
          <w:szCs w:val="28"/>
        </w:rPr>
        <w:t>  The amount of time allocated for each side to present oral argument may vary.  Normally, the parties should plan on being allocated 15 minutes per side, although the court may expand or shorten this time before or at the oral argument.</w:t>
      </w:r>
    </w:p>
    <w:p w14:paraId="4FA3E814" w14:textId="77777777" w:rsidR="00B53248" w:rsidRPr="00A842C0" w:rsidRDefault="00B53248" w:rsidP="00B53248">
      <w:pPr>
        <w:pStyle w:val="NormalWeb"/>
        <w:spacing w:before="0" w:beforeAutospacing="0" w:after="180" w:afterAutospacing="0"/>
        <w:ind w:firstLine="600"/>
        <w:rPr>
          <w:rFonts w:ascii="Century Schoolbook" w:hAnsi="Century Schoolbook" w:cs="Arial"/>
          <w:color w:val="333333"/>
          <w:sz w:val="28"/>
          <w:szCs w:val="28"/>
        </w:rPr>
      </w:pPr>
      <w:proofErr w:type="gramStart"/>
      <w:r w:rsidRPr="00A842C0">
        <w:rPr>
          <w:rStyle w:val="Strong"/>
          <w:rFonts w:ascii="Century Schoolbook" w:hAnsi="Century Schoolbook" w:cs="Arial"/>
          <w:color w:val="333333"/>
          <w:sz w:val="28"/>
          <w:szCs w:val="28"/>
        </w:rPr>
        <w:t>(d)  [</w:t>
      </w:r>
      <w:proofErr w:type="gramEnd"/>
      <w:r w:rsidRPr="00A842C0">
        <w:rPr>
          <w:rStyle w:val="Strong"/>
          <w:rFonts w:ascii="Century Schoolbook" w:hAnsi="Century Schoolbook" w:cs="Arial"/>
          <w:color w:val="333333"/>
          <w:sz w:val="28"/>
          <w:szCs w:val="28"/>
        </w:rPr>
        <w:t>Sharing Argument Time]</w:t>
      </w:r>
      <w:r w:rsidRPr="00A842C0">
        <w:rPr>
          <w:rFonts w:ascii="Century Schoolbook" w:hAnsi="Century Schoolbook" w:cs="Arial"/>
          <w:color w:val="333333"/>
          <w:sz w:val="28"/>
          <w:szCs w:val="28"/>
        </w:rPr>
        <w:t>  In cases in which two or more parties have interests that are aligned, i.e., are on the same side, those parties shall confer before the oral argument on how they prefer to share their side’s time during the oral argument.  Multiple attorneys who share time should avoid repeating arguments made by other attorneys.</w:t>
      </w:r>
    </w:p>
    <w:p w14:paraId="5E0B2ED1" w14:textId="77777777" w:rsidR="00B53248" w:rsidRPr="00A842C0" w:rsidRDefault="00B53248" w:rsidP="00B53248">
      <w:pPr>
        <w:pStyle w:val="NormalWeb"/>
        <w:spacing w:before="0" w:beforeAutospacing="0" w:after="180" w:afterAutospacing="0"/>
        <w:ind w:firstLine="600"/>
        <w:rPr>
          <w:rFonts w:ascii="Century Schoolbook" w:hAnsi="Century Schoolbook" w:cs="Arial"/>
          <w:color w:val="333333"/>
          <w:sz w:val="28"/>
          <w:szCs w:val="28"/>
        </w:rPr>
      </w:pPr>
      <w:proofErr w:type="gramStart"/>
      <w:r w:rsidRPr="00A842C0">
        <w:rPr>
          <w:rStyle w:val="Strong"/>
          <w:rFonts w:ascii="Century Schoolbook" w:hAnsi="Century Schoolbook" w:cs="Arial"/>
          <w:color w:val="333333"/>
          <w:sz w:val="28"/>
          <w:szCs w:val="28"/>
        </w:rPr>
        <w:t>(e)  [</w:t>
      </w:r>
      <w:proofErr w:type="gramEnd"/>
      <w:r w:rsidRPr="00A842C0">
        <w:rPr>
          <w:rStyle w:val="Strong"/>
          <w:rFonts w:ascii="Century Schoolbook" w:hAnsi="Century Schoolbook" w:cs="Arial"/>
          <w:color w:val="333333"/>
          <w:sz w:val="28"/>
          <w:szCs w:val="28"/>
        </w:rPr>
        <w:t>Oral Argument Dates]</w:t>
      </w:r>
      <w:r w:rsidRPr="00A842C0">
        <w:rPr>
          <w:rFonts w:ascii="Century Schoolbook" w:hAnsi="Century Schoolbook" w:cs="Arial"/>
          <w:color w:val="333333"/>
          <w:sz w:val="28"/>
          <w:szCs w:val="28"/>
        </w:rPr>
        <w:t>  The court maintains a list of the currently scheduled oral argument dates for each division.  The list is available on the court’s web site at </w:t>
      </w:r>
      <w:hyperlink r:id="rId7" w:history="1">
        <w:r w:rsidRPr="00A842C0">
          <w:rPr>
            <w:rStyle w:val="Hyperlink"/>
            <w:rFonts w:ascii="Century Schoolbook" w:hAnsi="Century Schoolbook" w:cs="Arial"/>
            <w:color w:val="093691"/>
            <w:sz w:val="28"/>
            <w:szCs w:val="28"/>
          </w:rPr>
          <w:t>http://www.courts.ca.gov/11245.htm</w:t>
        </w:r>
      </w:hyperlink>
      <w:r w:rsidRPr="00A842C0">
        <w:rPr>
          <w:rFonts w:ascii="Century Schoolbook" w:hAnsi="Century Schoolbook" w:cs="Arial"/>
          <w:color w:val="333333"/>
          <w:sz w:val="28"/>
          <w:szCs w:val="28"/>
        </w:rPr>
        <w:t xml:space="preserve">.  The dates on the list are </w:t>
      </w:r>
      <w:proofErr w:type="gramStart"/>
      <w:r w:rsidRPr="00A842C0">
        <w:rPr>
          <w:rFonts w:ascii="Century Schoolbook" w:hAnsi="Century Schoolbook" w:cs="Arial"/>
          <w:color w:val="333333"/>
          <w:sz w:val="28"/>
          <w:szCs w:val="28"/>
        </w:rPr>
        <w:t>tentative</w:t>
      </w:r>
      <w:proofErr w:type="gramEnd"/>
      <w:r w:rsidRPr="00A842C0">
        <w:rPr>
          <w:rFonts w:ascii="Century Schoolbook" w:hAnsi="Century Schoolbook" w:cs="Arial"/>
          <w:color w:val="333333"/>
          <w:sz w:val="28"/>
          <w:szCs w:val="28"/>
        </w:rPr>
        <w:t xml:space="preserve"> and parties and their counsel should always </w:t>
      </w:r>
      <w:r w:rsidRPr="00A842C0">
        <w:rPr>
          <w:rFonts w:ascii="Century Schoolbook" w:hAnsi="Century Schoolbook" w:cs="Arial"/>
          <w:color w:val="333333"/>
          <w:sz w:val="28"/>
          <w:szCs w:val="28"/>
        </w:rPr>
        <w:lastRenderedPageBreak/>
        <w:t>verify them with the clerk of the division to which a case is assigned.</w:t>
      </w:r>
    </w:p>
    <w:p w14:paraId="6E0FE2D0" w14:textId="77777777" w:rsidR="00B53248" w:rsidRDefault="00B53248" w:rsidP="00B53248">
      <w:pPr>
        <w:pStyle w:val="NormalWeb"/>
        <w:spacing w:before="0" w:beforeAutospacing="0" w:after="180" w:afterAutospacing="0"/>
        <w:ind w:firstLine="600"/>
        <w:rPr>
          <w:rFonts w:ascii="Century Schoolbook" w:hAnsi="Century Schoolbook" w:cs="Arial"/>
          <w:color w:val="333333"/>
          <w:sz w:val="28"/>
          <w:szCs w:val="28"/>
        </w:rPr>
      </w:pPr>
      <w:proofErr w:type="gramStart"/>
      <w:r w:rsidRPr="00A842C0">
        <w:rPr>
          <w:rStyle w:val="Strong"/>
          <w:rFonts w:ascii="Century Schoolbook" w:hAnsi="Century Schoolbook" w:cs="Arial"/>
          <w:color w:val="333333"/>
          <w:sz w:val="28"/>
          <w:szCs w:val="28"/>
        </w:rPr>
        <w:t>(f)  [</w:t>
      </w:r>
      <w:proofErr w:type="gramEnd"/>
      <w:r w:rsidRPr="00A842C0">
        <w:rPr>
          <w:rStyle w:val="Strong"/>
          <w:rFonts w:ascii="Century Schoolbook" w:hAnsi="Century Schoolbook" w:cs="Arial"/>
          <w:color w:val="333333"/>
          <w:sz w:val="28"/>
          <w:szCs w:val="28"/>
        </w:rPr>
        <w:t xml:space="preserve">Recording </w:t>
      </w:r>
      <w:r>
        <w:rPr>
          <w:rStyle w:val="Strong"/>
          <w:rFonts w:ascii="Century Schoolbook" w:hAnsi="Century Schoolbook" w:cs="Arial"/>
          <w:color w:val="333333"/>
          <w:sz w:val="28"/>
          <w:szCs w:val="28"/>
          <w:u w:val="single"/>
        </w:rPr>
        <w:t xml:space="preserve">and Streaming </w:t>
      </w:r>
      <w:r w:rsidRPr="00A842C0">
        <w:rPr>
          <w:rStyle w:val="Strong"/>
          <w:rFonts w:ascii="Century Schoolbook" w:hAnsi="Century Schoolbook" w:cs="Arial"/>
          <w:color w:val="333333"/>
          <w:sz w:val="28"/>
          <w:szCs w:val="28"/>
        </w:rPr>
        <w:t>of Oral Argument]</w:t>
      </w:r>
      <w:r w:rsidRPr="00A842C0">
        <w:rPr>
          <w:rFonts w:ascii="Century Schoolbook" w:hAnsi="Century Schoolbook" w:cs="Arial"/>
          <w:color w:val="333333"/>
          <w:sz w:val="28"/>
          <w:szCs w:val="28"/>
        </w:rPr>
        <w:t xml:space="preserve">  The court records </w:t>
      </w:r>
      <w:r w:rsidRPr="00A4339D">
        <w:rPr>
          <w:rFonts w:ascii="Century Schoolbook" w:hAnsi="Century Schoolbook" w:cs="Arial"/>
          <w:color w:val="333333"/>
          <w:sz w:val="28"/>
          <w:szCs w:val="28"/>
        </w:rPr>
        <w:t>and streams</w:t>
      </w:r>
      <w:r>
        <w:rPr>
          <w:rFonts w:ascii="Century Schoolbook" w:hAnsi="Century Schoolbook" w:cs="Arial"/>
          <w:color w:val="333333"/>
          <w:sz w:val="28"/>
          <w:szCs w:val="28"/>
        </w:rPr>
        <w:t xml:space="preserve"> </w:t>
      </w:r>
      <w:r w:rsidRPr="00F857AA">
        <w:rPr>
          <w:rFonts w:ascii="Century Schoolbook" w:hAnsi="Century Schoolbook" w:cs="Arial"/>
          <w:color w:val="333333"/>
          <w:sz w:val="28"/>
          <w:szCs w:val="28"/>
        </w:rPr>
        <w:t>all</w:t>
      </w:r>
      <w:r w:rsidRPr="00A842C0">
        <w:rPr>
          <w:rFonts w:ascii="Century Schoolbook" w:hAnsi="Century Schoolbook" w:cs="Arial"/>
          <w:color w:val="333333"/>
          <w:sz w:val="28"/>
          <w:szCs w:val="28"/>
        </w:rPr>
        <w:t xml:space="preserve"> oral arguments, including oral arguments presented </w:t>
      </w:r>
      <w:r w:rsidRPr="00A4339D">
        <w:rPr>
          <w:rFonts w:ascii="Century Schoolbook" w:hAnsi="Century Schoolbook" w:cs="Arial"/>
          <w:color w:val="333333"/>
          <w:sz w:val="28"/>
          <w:szCs w:val="28"/>
        </w:rPr>
        <w:t>remotely by video or</w:t>
      </w:r>
      <w:r>
        <w:rPr>
          <w:rFonts w:ascii="Century Schoolbook" w:hAnsi="Century Schoolbook" w:cs="Arial"/>
          <w:color w:val="333333"/>
          <w:sz w:val="28"/>
          <w:szCs w:val="28"/>
        </w:rPr>
        <w:t xml:space="preserve"> </w:t>
      </w:r>
      <w:r w:rsidRPr="00DB5AA8">
        <w:rPr>
          <w:rFonts w:ascii="Century Schoolbook" w:hAnsi="Century Schoolbook" w:cs="Arial"/>
          <w:color w:val="333333"/>
          <w:sz w:val="28"/>
          <w:szCs w:val="28"/>
        </w:rPr>
        <w:t>by</w:t>
      </w:r>
      <w:r w:rsidRPr="00A842C0">
        <w:rPr>
          <w:rFonts w:ascii="Century Schoolbook" w:hAnsi="Century Schoolbook" w:cs="Arial"/>
          <w:color w:val="333333"/>
          <w:sz w:val="28"/>
          <w:szCs w:val="28"/>
        </w:rPr>
        <w:t xml:space="preserve"> telephone conference call.  A request for oral </w:t>
      </w:r>
      <w:proofErr w:type="gramStart"/>
      <w:r w:rsidRPr="00A842C0">
        <w:rPr>
          <w:rFonts w:ascii="Century Schoolbook" w:hAnsi="Century Schoolbook" w:cs="Arial"/>
          <w:color w:val="333333"/>
          <w:sz w:val="28"/>
          <w:szCs w:val="28"/>
        </w:rPr>
        <w:t>argument</w:t>
      </w:r>
      <w:proofErr w:type="gramEnd"/>
      <w:r w:rsidRPr="00A842C0">
        <w:rPr>
          <w:rFonts w:ascii="Century Schoolbook" w:hAnsi="Century Schoolbook" w:cs="Arial"/>
          <w:color w:val="333333"/>
          <w:sz w:val="28"/>
          <w:szCs w:val="28"/>
        </w:rPr>
        <w:t xml:space="preserve"> will be deemed consent to such recording</w:t>
      </w:r>
      <w:r>
        <w:rPr>
          <w:rFonts w:ascii="Century Schoolbook" w:hAnsi="Century Schoolbook" w:cs="Arial"/>
          <w:color w:val="333333"/>
          <w:sz w:val="28"/>
          <w:szCs w:val="28"/>
        </w:rPr>
        <w:t xml:space="preserve"> </w:t>
      </w:r>
      <w:r w:rsidRPr="00A4339D">
        <w:rPr>
          <w:rFonts w:ascii="Century Schoolbook" w:hAnsi="Century Schoolbook" w:cs="Arial"/>
          <w:color w:val="333333"/>
          <w:sz w:val="28"/>
          <w:szCs w:val="28"/>
        </w:rPr>
        <w:t>and streaming</w:t>
      </w:r>
      <w:r w:rsidRPr="00A842C0">
        <w:rPr>
          <w:rFonts w:ascii="Century Schoolbook" w:hAnsi="Century Schoolbook" w:cs="Arial"/>
          <w:color w:val="333333"/>
          <w:sz w:val="28"/>
          <w:szCs w:val="28"/>
        </w:rPr>
        <w:t>.</w:t>
      </w:r>
    </w:p>
    <w:p w14:paraId="727D2C10" w14:textId="77777777" w:rsidR="00B53248" w:rsidRPr="005A53A1" w:rsidRDefault="00B53248" w:rsidP="00B53248">
      <w:pPr>
        <w:pStyle w:val="NormalWeb"/>
        <w:spacing w:before="0" w:beforeAutospacing="0" w:after="180" w:afterAutospacing="0"/>
        <w:ind w:firstLine="600"/>
        <w:rPr>
          <w:rFonts w:ascii="Century Schoolbook" w:hAnsi="Century Schoolbook" w:cs="Arial"/>
          <w:color w:val="333333"/>
          <w:sz w:val="28"/>
          <w:szCs w:val="28"/>
        </w:rPr>
      </w:pPr>
      <w:r w:rsidRPr="005A53A1">
        <w:rPr>
          <w:rStyle w:val="Strong"/>
          <w:rFonts w:ascii="Century Schoolbook" w:hAnsi="Century Schoolbook" w:cs="Arial"/>
          <w:color w:val="333333"/>
          <w:sz w:val="28"/>
          <w:szCs w:val="28"/>
        </w:rPr>
        <w:t>(g)  [Continuances]</w:t>
      </w:r>
      <w:r w:rsidRPr="005A53A1">
        <w:rPr>
          <w:rFonts w:ascii="Century Schoolbook" w:hAnsi="Century Schoolbook" w:cs="Arial"/>
          <w:color w:val="333333"/>
          <w:sz w:val="28"/>
          <w:szCs w:val="28"/>
        </w:rPr>
        <w:t xml:space="preserve">  Any party who wishes to continue oral argument to a later date must submit a request, in writing, that includes:  (1) an explanation as to why the request for continuance is being made; (2) confirmation that there was a meet and confer with all opposing parties (or an explanation why it was impracticable to meet and confer) in an attempt to select a mutually agreeable date and whether there is opposition to a continuance; and (3) a proposed new date no more than 45 days after the currently assigned date and that is on the list of already scheduled oral argument dates for the division in question.  If the proposed new date is more than 45 days after the currently assigned date, the request for continuance must set forth, in detail, why argument on an earlier date is not possible.  The court retains the discretion to deny </w:t>
      </w:r>
      <w:proofErr w:type="gramStart"/>
      <w:r w:rsidRPr="005A53A1">
        <w:rPr>
          <w:rFonts w:ascii="Century Schoolbook" w:hAnsi="Century Schoolbook" w:cs="Arial"/>
          <w:color w:val="333333"/>
          <w:sz w:val="28"/>
          <w:szCs w:val="28"/>
        </w:rPr>
        <w:t>any and all</w:t>
      </w:r>
      <w:proofErr w:type="gramEnd"/>
      <w:r w:rsidRPr="005A53A1">
        <w:rPr>
          <w:rFonts w:ascii="Century Schoolbook" w:hAnsi="Century Schoolbook" w:cs="Arial"/>
          <w:color w:val="333333"/>
          <w:sz w:val="28"/>
          <w:szCs w:val="28"/>
        </w:rPr>
        <w:t xml:space="preserve"> requests for a continuance.</w:t>
      </w:r>
    </w:p>
    <w:p w14:paraId="47104E3C" w14:textId="66D4963D" w:rsidR="00B53248" w:rsidRDefault="00B53248" w:rsidP="00B53248">
      <w:pPr>
        <w:pStyle w:val="NormalWeb"/>
        <w:spacing w:before="0" w:beforeAutospacing="0" w:after="180" w:afterAutospacing="0"/>
        <w:rPr>
          <w:rStyle w:val="Emphasis"/>
          <w:rFonts w:ascii="Century Schoolbook" w:hAnsi="Century Schoolbook" w:cs="Arial"/>
          <w:color w:val="333333"/>
          <w:sz w:val="28"/>
          <w:szCs w:val="28"/>
        </w:rPr>
      </w:pPr>
      <w:bookmarkStart w:id="0" w:name="_Hlk228449911"/>
      <w:r w:rsidRPr="00A842C0">
        <w:rPr>
          <w:rStyle w:val="Emphasis"/>
          <w:rFonts w:ascii="Century Schoolbook" w:hAnsi="Century Schoolbook" w:cs="Arial"/>
          <w:color w:val="333333"/>
          <w:sz w:val="28"/>
          <w:szCs w:val="28"/>
        </w:rPr>
        <w:t>(Adopted, eff. August 23, 2019</w:t>
      </w:r>
      <w:r>
        <w:rPr>
          <w:rStyle w:val="Emphasis"/>
          <w:rFonts w:ascii="Century Schoolbook" w:hAnsi="Century Schoolbook" w:cs="Arial"/>
          <w:color w:val="333333"/>
          <w:sz w:val="28"/>
          <w:szCs w:val="28"/>
        </w:rPr>
        <w:t>; amended, eff. June 5, 2023</w:t>
      </w:r>
      <w:r w:rsidR="008E3F13">
        <w:rPr>
          <w:rStyle w:val="Emphasis"/>
          <w:rFonts w:ascii="Century Schoolbook" w:hAnsi="Century Schoolbook" w:cs="Arial"/>
          <w:color w:val="333333"/>
          <w:sz w:val="28"/>
          <w:szCs w:val="28"/>
        </w:rPr>
        <w:t xml:space="preserve">; amended eff. </w:t>
      </w:r>
      <w:r w:rsidR="002644F1">
        <w:rPr>
          <w:rStyle w:val="Emphasis"/>
          <w:rFonts w:ascii="Century Schoolbook" w:hAnsi="Century Schoolbook" w:cs="Arial"/>
          <w:color w:val="333333"/>
          <w:sz w:val="28"/>
          <w:szCs w:val="28"/>
        </w:rPr>
        <w:t>July24</w:t>
      </w:r>
      <w:r w:rsidR="00583EBA">
        <w:rPr>
          <w:rStyle w:val="Emphasis"/>
          <w:rFonts w:ascii="Century Schoolbook" w:hAnsi="Century Schoolbook" w:cs="Arial"/>
          <w:color w:val="333333"/>
          <w:sz w:val="28"/>
          <w:szCs w:val="28"/>
        </w:rPr>
        <w:t>, 2026</w:t>
      </w:r>
      <w:r w:rsidRPr="00A842C0">
        <w:rPr>
          <w:rStyle w:val="Emphasis"/>
          <w:rFonts w:ascii="Century Schoolbook" w:hAnsi="Century Schoolbook" w:cs="Arial"/>
          <w:color w:val="333333"/>
          <w:sz w:val="28"/>
          <w:szCs w:val="28"/>
        </w:rPr>
        <w:t>.)</w:t>
      </w:r>
      <w:bookmarkEnd w:id="0"/>
    </w:p>
    <w:p w14:paraId="26B5D8B2" w14:textId="77777777" w:rsidR="005E3960" w:rsidRDefault="005E3960" w:rsidP="00CF1931">
      <w:pPr>
        <w:pStyle w:val="NormalWeb"/>
        <w:spacing w:before="0" w:beforeAutospacing="0" w:after="180" w:afterAutospacing="0"/>
        <w:rPr>
          <w:rFonts w:ascii="Century Schoolbook" w:hAnsi="Century Schoolbook"/>
          <w:sz w:val="28"/>
          <w:szCs w:val="28"/>
        </w:rPr>
      </w:pPr>
    </w:p>
    <w:p w14:paraId="74161B52" w14:textId="77777777" w:rsidR="00222A12" w:rsidRDefault="00222A12" w:rsidP="00CF1931">
      <w:pPr>
        <w:pStyle w:val="NormalWeb"/>
        <w:spacing w:before="0" w:beforeAutospacing="0" w:after="180" w:afterAutospacing="0"/>
        <w:rPr>
          <w:rFonts w:ascii="Century Schoolbook" w:hAnsi="Century Schoolbook"/>
          <w:sz w:val="28"/>
          <w:szCs w:val="28"/>
        </w:rPr>
      </w:pPr>
    </w:p>
    <w:p w14:paraId="70E28A85" w14:textId="1C9D2D2B" w:rsidR="00222A12" w:rsidRDefault="00222A12" w:rsidP="00222A12">
      <w:pPr>
        <w:pStyle w:val="NormalWeb"/>
        <w:spacing w:before="0" w:beforeAutospacing="0" w:after="180" w:afterAutospacing="0"/>
        <w:ind w:firstLine="600"/>
        <w:rPr>
          <w:rFonts w:ascii="Century Schoolbook" w:hAnsi="Century Schoolbook"/>
          <w:b/>
          <w:bCs/>
          <w:sz w:val="32"/>
          <w:szCs w:val="32"/>
        </w:rPr>
      </w:pPr>
      <w:r w:rsidRPr="00A842C0">
        <w:rPr>
          <w:rFonts w:ascii="Century Schoolbook" w:hAnsi="Century Schoolbook"/>
          <w:b/>
          <w:bCs/>
          <w:sz w:val="32"/>
          <w:szCs w:val="32"/>
        </w:rPr>
        <w:t>Local Rule 1</w:t>
      </w:r>
      <w:r>
        <w:rPr>
          <w:rFonts w:ascii="Century Schoolbook" w:hAnsi="Century Schoolbook"/>
          <w:b/>
          <w:bCs/>
          <w:sz w:val="32"/>
          <w:szCs w:val="32"/>
        </w:rPr>
        <w:t>5</w:t>
      </w:r>
      <w:r w:rsidRPr="00A842C0">
        <w:rPr>
          <w:rFonts w:ascii="Century Schoolbook" w:hAnsi="Century Schoolbook"/>
          <w:b/>
          <w:bCs/>
          <w:sz w:val="32"/>
          <w:szCs w:val="32"/>
        </w:rPr>
        <w:t>:</w:t>
      </w:r>
    </w:p>
    <w:p w14:paraId="3DE90A13" w14:textId="34D535B6" w:rsidR="00222A12" w:rsidRPr="00A842C0" w:rsidRDefault="00222A12" w:rsidP="00222A12">
      <w:pPr>
        <w:pStyle w:val="NormalWeb"/>
        <w:spacing w:before="0" w:beforeAutospacing="0" w:after="180" w:afterAutospacing="0"/>
        <w:ind w:firstLine="600"/>
        <w:rPr>
          <w:rFonts w:ascii="Century Schoolbook" w:hAnsi="Century Schoolbook"/>
          <w:b/>
          <w:bCs/>
          <w:sz w:val="32"/>
          <w:szCs w:val="32"/>
        </w:rPr>
      </w:pPr>
      <w:r>
        <w:rPr>
          <w:rFonts w:ascii="Century Schoolbook" w:hAnsi="Century Schoolbook"/>
          <w:b/>
          <w:bCs/>
          <w:sz w:val="32"/>
          <w:szCs w:val="32"/>
        </w:rPr>
        <w:tab/>
        <w:t>Focus Letters and Tentative Opinions</w:t>
      </w:r>
    </w:p>
    <w:p w14:paraId="30345B30" w14:textId="1C2EE318" w:rsidR="00222A12" w:rsidRPr="00A842C0" w:rsidRDefault="00222A12" w:rsidP="00222A12">
      <w:pPr>
        <w:pStyle w:val="NormalWeb"/>
        <w:spacing w:before="0" w:beforeAutospacing="0" w:after="180" w:afterAutospacing="0"/>
        <w:ind w:firstLine="600"/>
        <w:rPr>
          <w:rFonts w:ascii="Century Schoolbook" w:hAnsi="Century Schoolbook" w:cs="Arial"/>
          <w:color w:val="333333"/>
          <w:sz w:val="28"/>
          <w:szCs w:val="28"/>
        </w:rPr>
      </w:pPr>
      <w:r w:rsidRPr="00A842C0">
        <w:rPr>
          <w:rStyle w:val="Strong"/>
          <w:rFonts w:ascii="Century Schoolbook" w:hAnsi="Century Schoolbook" w:cs="Arial"/>
          <w:color w:val="333333"/>
          <w:sz w:val="28"/>
          <w:szCs w:val="28"/>
        </w:rPr>
        <w:t xml:space="preserve"> </w:t>
      </w:r>
      <w:proofErr w:type="gramStart"/>
      <w:r w:rsidRPr="00A842C0">
        <w:rPr>
          <w:rStyle w:val="Strong"/>
          <w:rFonts w:ascii="Century Schoolbook" w:hAnsi="Century Schoolbook" w:cs="Arial"/>
          <w:color w:val="333333"/>
          <w:sz w:val="28"/>
          <w:szCs w:val="28"/>
        </w:rPr>
        <w:t>a)  [</w:t>
      </w:r>
      <w:proofErr w:type="gramEnd"/>
      <w:r>
        <w:rPr>
          <w:rStyle w:val="Strong"/>
          <w:rFonts w:ascii="Century Schoolbook" w:hAnsi="Century Schoolbook" w:cs="Arial"/>
          <w:color w:val="333333"/>
          <w:sz w:val="28"/>
          <w:szCs w:val="28"/>
        </w:rPr>
        <w:t>Focus Letters</w:t>
      </w:r>
      <w:r w:rsidRPr="00A842C0">
        <w:rPr>
          <w:rStyle w:val="Strong"/>
          <w:rFonts w:ascii="Century Schoolbook" w:hAnsi="Century Schoolbook" w:cs="Arial"/>
          <w:color w:val="333333"/>
          <w:sz w:val="28"/>
          <w:szCs w:val="28"/>
        </w:rPr>
        <w:t>]</w:t>
      </w:r>
      <w:r w:rsidRPr="00A842C0">
        <w:rPr>
          <w:rFonts w:ascii="Century Schoolbook" w:hAnsi="Century Schoolbook" w:cs="Arial"/>
          <w:color w:val="333333"/>
          <w:sz w:val="28"/>
          <w:szCs w:val="28"/>
        </w:rPr>
        <w:t xml:space="preserve">  </w:t>
      </w:r>
      <w:r w:rsidR="000343E4">
        <w:rPr>
          <w:rFonts w:ascii="Century Schoolbook" w:hAnsi="Century Schoolbook" w:cs="Arial"/>
          <w:color w:val="333333"/>
          <w:sz w:val="28"/>
          <w:szCs w:val="28"/>
        </w:rPr>
        <w:t xml:space="preserve">Panels may issue focus orders or letters in cases scheduled for oral argument. These orders or letters are issued before argument, and they notify the </w:t>
      </w:r>
      <w:r w:rsidR="000343E4">
        <w:rPr>
          <w:rFonts w:ascii="Century Schoolbook" w:hAnsi="Century Schoolbook" w:cs="Arial"/>
          <w:color w:val="333333"/>
          <w:sz w:val="28"/>
          <w:szCs w:val="28"/>
        </w:rPr>
        <w:lastRenderedPageBreak/>
        <w:t xml:space="preserve">parties about </w:t>
      </w:r>
      <w:proofErr w:type="gramStart"/>
      <w:r w:rsidR="000343E4">
        <w:rPr>
          <w:rFonts w:ascii="Century Schoolbook" w:hAnsi="Century Schoolbook" w:cs="Arial"/>
          <w:color w:val="333333"/>
          <w:sz w:val="28"/>
          <w:szCs w:val="28"/>
        </w:rPr>
        <w:t>particular issues</w:t>
      </w:r>
      <w:proofErr w:type="gramEnd"/>
      <w:r w:rsidR="000343E4">
        <w:rPr>
          <w:rFonts w:ascii="Century Schoolbook" w:hAnsi="Century Schoolbook" w:cs="Arial"/>
          <w:color w:val="333333"/>
          <w:sz w:val="28"/>
          <w:szCs w:val="28"/>
        </w:rPr>
        <w:t xml:space="preserve"> the panel is interested in discussing.  </w:t>
      </w:r>
    </w:p>
    <w:p w14:paraId="4E9CCFF3" w14:textId="03E9B6E9" w:rsidR="00222A12" w:rsidRDefault="00222A12" w:rsidP="00222A12">
      <w:pPr>
        <w:pStyle w:val="NormalWeb"/>
        <w:spacing w:before="0" w:beforeAutospacing="0" w:after="180" w:afterAutospacing="0"/>
        <w:rPr>
          <w:rFonts w:ascii="Century Schoolbook" w:hAnsi="Century Schoolbook" w:cs="Arial"/>
          <w:color w:val="333333"/>
          <w:sz w:val="28"/>
          <w:szCs w:val="28"/>
        </w:rPr>
      </w:pPr>
      <w:proofErr w:type="gramStart"/>
      <w:r w:rsidRPr="00A842C0">
        <w:rPr>
          <w:rStyle w:val="Strong"/>
          <w:rFonts w:ascii="Century Schoolbook" w:hAnsi="Century Schoolbook" w:cs="Arial"/>
          <w:color w:val="333333"/>
          <w:sz w:val="28"/>
          <w:szCs w:val="28"/>
        </w:rPr>
        <w:t>(b)  [</w:t>
      </w:r>
      <w:proofErr w:type="gramEnd"/>
      <w:r w:rsidR="00B14118">
        <w:rPr>
          <w:rStyle w:val="Strong"/>
          <w:rFonts w:ascii="Century Schoolbook" w:hAnsi="Century Schoolbook" w:cs="Arial"/>
          <w:color w:val="333333"/>
          <w:sz w:val="28"/>
          <w:szCs w:val="28"/>
        </w:rPr>
        <w:t>Tentative Opinions</w:t>
      </w:r>
      <w:r w:rsidRPr="00D76E7E">
        <w:rPr>
          <w:rStyle w:val="Strong"/>
          <w:rFonts w:ascii="Century Schoolbook" w:hAnsi="Century Schoolbook" w:cs="Arial"/>
          <w:color w:val="333333"/>
          <w:sz w:val="28"/>
          <w:szCs w:val="28"/>
        </w:rPr>
        <w:t>]</w:t>
      </w:r>
      <w:r w:rsidRPr="00D76E7E">
        <w:rPr>
          <w:rFonts w:ascii="Century Schoolbook" w:hAnsi="Century Schoolbook" w:cs="Arial"/>
          <w:color w:val="333333"/>
          <w:sz w:val="28"/>
          <w:szCs w:val="28"/>
        </w:rPr>
        <w:t xml:space="preserve">  </w:t>
      </w:r>
      <w:r w:rsidR="00B14118" w:rsidRPr="00B14118">
        <w:rPr>
          <w:rFonts w:ascii="Century Schoolbook" w:hAnsi="Century Schoolbook" w:cs="Arial"/>
          <w:color w:val="333333"/>
          <w:sz w:val="28"/>
          <w:szCs w:val="28"/>
        </w:rPr>
        <w:t xml:space="preserve">Panels may, in their sole discretion, issue tentative opinions in cases scheduled for oral argument. Any such tentative opinion will be issued before the argument, and the parties will be notified that the court is prepared to rule along the lines indicated in the tentative opinion. When a tentative opinion is issued, oral argument will be held only if a party that originally requested oral argument notifies the court, opposing counsel, and unrepresented parties, that they still wish to proceed with oral argument. </w:t>
      </w:r>
      <w:r w:rsidR="00B14118" w:rsidRPr="00B14118">
        <w:rPr>
          <w:rFonts w:ascii="Century Schoolbook" w:hAnsi="Century Schoolbook" w:cs="Arial"/>
          <w:color w:val="333333"/>
          <w:sz w:val="28"/>
          <w:szCs w:val="28"/>
          <w:u w:val="single"/>
        </w:rPr>
        <w:t>Notification must be made through the court’s electronic filing system (</w:t>
      </w:r>
      <w:proofErr w:type="spellStart"/>
      <w:r w:rsidR="00B14118" w:rsidRPr="00B14118">
        <w:rPr>
          <w:rFonts w:ascii="Century Schoolbook" w:hAnsi="Century Schoolbook" w:cs="Arial"/>
          <w:color w:val="333333"/>
          <w:sz w:val="28"/>
          <w:szCs w:val="28"/>
          <w:u w:val="single"/>
        </w:rPr>
        <w:t>TrueFiling</w:t>
      </w:r>
      <w:proofErr w:type="spellEnd"/>
      <w:r w:rsidR="00B14118" w:rsidRPr="00B14118">
        <w:rPr>
          <w:rFonts w:ascii="Century Schoolbook" w:hAnsi="Century Schoolbook" w:cs="Arial"/>
          <w:color w:val="333333"/>
          <w:sz w:val="28"/>
          <w:szCs w:val="28"/>
          <w:u w:val="single"/>
        </w:rPr>
        <w:t xml:space="preserve">) and is separate from and in addition to a party’s previously filed </w:t>
      </w:r>
      <w:r w:rsidR="00B14118" w:rsidRPr="00B14118">
        <w:rPr>
          <w:rFonts w:ascii="Century Schoolbook" w:hAnsi="Century Schoolbook" w:cs="Arial"/>
          <w:i/>
          <w:iCs/>
          <w:color w:val="333333"/>
          <w:sz w:val="28"/>
          <w:szCs w:val="28"/>
          <w:u w:val="single"/>
        </w:rPr>
        <w:t xml:space="preserve">Request for Oral Argument </w:t>
      </w:r>
      <w:r w:rsidR="00B14118" w:rsidRPr="00B14118">
        <w:rPr>
          <w:rFonts w:ascii="Century Schoolbook" w:hAnsi="Century Schoolbook" w:cs="Arial"/>
          <w:color w:val="333333"/>
          <w:sz w:val="28"/>
          <w:szCs w:val="28"/>
          <w:u w:val="single"/>
        </w:rPr>
        <w:t xml:space="preserve">form or </w:t>
      </w:r>
      <w:r w:rsidR="00B14118" w:rsidRPr="00B14118">
        <w:rPr>
          <w:rFonts w:ascii="Century Schoolbook" w:hAnsi="Century Schoolbook" w:cs="Arial"/>
          <w:i/>
          <w:iCs/>
          <w:color w:val="333333"/>
          <w:sz w:val="28"/>
          <w:szCs w:val="28"/>
          <w:u w:val="single"/>
        </w:rPr>
        <w:t xml:space="preserve">Oral Argument Appearance Type </w:t>
      </w:r>
      <w:r w:rsidR="00B14118" w:rsidRPr="00B14118">
        <w:rPr>
          <w:rFonts w:ascii="Century Schoolbook" w:hAnsi="Century Schoolbook" w:cs="Arial"/>
          <w:color w:val="333333"/>
          <w:sz w:val="28"/>
          <w:szCs w:val="28"/>
          <w:u w:val="single"/>
        </w:rPr>
        <w:t>form.</w:t>
      </w:r>
      <w:r w:rsidR="00B14118" w:rsidRPr="00B14118">
        <w:rPr>
          <w:rFonts w:ascii="Century Schoolbook" w:hAnsi="Century Schoolbook" w:cs="Arial"/>
          <w:color w:val="333333"/>
          <w:sz w:val="28"/>
          <w:szCs w:val="28"/>
        </w:rPr>
        <w:t xml:space="preserve"> If such a notification is given, oral argument will proceed as scheduled, and the views expressed in the tentative opinion will be subject to change. If no such notification is given, oral argument will not be held, and the court’s final opinion will reflect the substance of the tentative opinion.</w:t>
      </w:r>
    </w:p>
    <w:p w14:paraId="1EEFA80D" w14:textId="0C71B8A5" w:rsidR="00B14118" w:rsidRDefault="00B14118" w:rsidP="00222A12">
      <w:pPr>
        <w:pStyle w:val="NormalWeb"/>
        <w:spacing w:before="0" w:beforeAutospacing="0" w:after="180" w:afterAutospacing="0"/>
        <w:rPr>
          <w:rFonts w:ascii="Century Schoolbook" w:hAnsi="Century Schoolbook" w:cs="Arial"/>
          <w:color w:val="333333"/>
          <w:sz w:val="28"/>
          <w:szCs w:val="28"/>
        </w:rPr>
      </w:pPr>
      <w:r w:rsidRPr="00A842C0">
        <w:rPr>
          <w:rStyle w:val="Emphasis"/>
          <w:rFonts w:ascii="Century Schoolbook" w:hAnsi="Century Schoolbook" w:cs="Arial"/>
          <w:color w:val="333333"/>
          <w:sz w:val="28"/>
          <w:szCs w:val="28"/>
        </w:rPr>
        <w:t xml:space="preserve">(Adopted, eff. </w:t>
      </w:r>
      <w:r>
        <w:rPr>
          <w:rStyle w:val="Emphasis"/>
          <w:rFonts w:ascii="Century Schoolbook" w:hAnsi="Century Schoolbook" w:cs="Arial"/>
          <w:color w:val="333333"/>
          <w:sz w:val="28"/>
          <w:szCs w:val="28"/>
        </w:rPr>
        <w:t>June 24</w:t>
      </w:r>
      <w:r w:rsidRPr="00A842C0">
        <w:rPr>
          <w:rStyle w:val="Emphasis"/>
          <w:rFonts w:ascii="Century Schoolbook" w:hAnsi="Century Schoolbook" w:cs="Arial"/>
          <w:color w:val="333333"/>
          <w:sz w:val="28"/>
          <w:szCs w:val="28"/>
        </w:rPr>
        <w:t>, 20</w:t>
      </w:r>
      <w:r w:rsidR="004A391D">
        <w:rPr>
          <w:rStyle w:val="Emphasis"/>
          <w:rFonts w:ascii="Century Schoolbook" w:hAnsi="Century Schoolbook" w:cs="Arial"/>
          <w:color w:val="333333"/>
          <w:sz w:val="28"/>
          <w:szCs w:val="28"/>
        </w:rPr>
        <w:t>22</w:t>
      </w:r>
      <w:r>
        <w:rPr>
          <w:rStyle w:val="Emphasis"/>
          <w:rFonts w:ascii="Century Schoolbook" w:hAnsi="Century Schoolbook" w:cs="Arial"/>
          <w:color w:val="333333"/>
          <w:sz w:val="28"/>
          <w:szCs w:val="28"/>
        </w:rPr>
        <w:t xml:space="preserve">; amended eff. </w:t>
      </w:r>
      <w:r w:rsidR="002644F1">
        <w:rPr>
          <w:rStyle w:val="Emphasis"/>
          <w:rFonts w:ascii="Century Schoolbook" w:hAnsi="Century Schoolbook" w:cs="Arial"/>
          <w:color w:val="333333"/>
          <w:sz w:val="28"/>
          <w:szCs w:val="28"/>
        </w:rPr>
        <w:t>July 24</w:t>
      </w:r>
      <w:r>
        <w:rPr>
          <w:rStyle w:val="Emphasis"/>
          <w:rFonts w:ascii="Century Schoolbook" w:hAnsi="Century Schoolbook" w:cs="Arial"/>
          <w:color w:val="333333"/>
          <w:sz w:val="28"/>
          <w:szCs w:val="28"/>
        </w:rPr>
        <w:t>, 2026</w:t>
      </w:r>
      <w:r w:rsidRPr="00A842C0">
        <w:rPr>
          <w:rStyle w:val="Emphasis"/>
          <w:rFonts w:ascii="Century Schoolbook" w:hAnsi="Century Schoolbook" w:cs="Arial"/>
          <w:color w:val="333333"/>
          <w:sz w:val="28"/>
          <w:szCs w:val="28"/>
        </w:rPr>
        <w:t>.)</w:t>
      </w:r>
    </w:p>
    <w:p w14:paraId="305CC83F" w14:textId="77777777" w:rsidR="00B14118" w:rsidRPr="00A842C0" w:rsidRDefault="00B14118" w:rsidP="00222A12">
      <w:pPr>
        <w:pStyle w:val="NormalWeb"/>
        <w:spacing w:before="0" w:beforeAutospacing="0" w:after="180" w:afterAutospacing="0"/>
        <w:rPr>
          <w:rFonts w:ascii="Century Schoolbook" w:hAnsi="Century Schoolbook"/>
          <w:sz w:val="28"/>
          <w:szCs w:val="28"/>
        </w:rPr>
      </w:pPr>
    </w:p>
    <w:sectPr w:rsidR="00B14118" w:rsidRPr="00A842C0" w:rsidSect="00DA1691">
      <w:footerReference w:type="default" r:id="rId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154B" w14:textId="77777777" w:rsidR="00AB6AE2" w:rsidRDefault="00AB6AE2" w:rsidP="00A00125">
      <w:pPr>
        <w:spacing w:line="240" w:lineRule="auto"/>
      </w:pPr>
      <w:r>
        <w:separator/>
      </w:r>
    </w:p>
  </w:endnote>
  <w:endnote w:type="continuationSeparator" w:id="0">
    <w:p w14:paraId="533DE30A" w14:textId="77777777" w:rsidR="00AB6AE2" w:rsidRDefault="00AB6AE2" w:rsidP="00A00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58403"/>
      <w:docPartObj>
        <w:docPartGallery w:val="Page Numbers (Bottom of Page)"/>
        <w:docPartUnique/>
      </w:docPartObj>
    </w:sdtPr>
    <w:sdtEndPr>
      <w:rPr>
        <w:noProof/>
      </w:rPr>
    </w:sdtEndPr>
    <w:sdtContent>
      <w:p w14:paraId="377BB288" w14:textId="15B59096" w:rsidR="00A00125" w:rsidRDefault="00A00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53E7A" w14:textId="77777777" w:rsidR="00A00125" w:rsidRDefault="00A0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BCC4" w14:textId="77777777" w:rsidR="00AB6AE2" w:rsidRDefault="00AB6AE2" w:rsidP="00A00125">
      <w:pPr>
        <w:spacing w:line="240" w:lineRule="auto"/>
      </w:pPr>
      <w:r>
        <w:separator/>
      </w:r>
    </w:p>
  </w:footnote>
  <w:footnote w:type="continuationSeparator" w:id="0">
    <w:p w14:paraId="610E57AB" w14:textId="77777777" w:rsidR="00AB6AE2" w:rsidRDefault="00AB6AE2" w:rsidP="00A001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C0"/>
    <w:rsid w:val="0000241D"/>
    <w:rsid w:val="000343E4"/>
    <w:rsid w:val="000455C5"/>
    <w:rsid w:val="00080156"/>
    <w:rsid w:val="000E6F94"/>
    <w:rsid w:val="000F2C64"/>
    <w:rsid w:val="00134F7C"/>
    <w:rsid w:val="001838FA"/>
    <w:rsid w:val="00196F36"/>
    <w:rsid w:val="00202A8B"/>
    <w:rsid w:val="00222A12"/>
    <w:rsid w:val="00235F73"/>
    <w:rsid w:val="002546C6"/>
    <w:rsid w:val="002644F1"/>
    <w:rsid w:val="002A5D53"/>
    <w:rsid w:val="002E3E15"/>
    <w:rsid w:val="0030498C"/>
    <w:rsid w:val="00330AC4"/>
    <w:rsid w:val="00335E1A"/>
    <w:rsid w:val="003834B3"/>
    <w:rsid w:val="003C717A"/>
    <w:rsid w:val="0040591C"/>
    <w:rsid w:val="00410737"/>
    <w:rsid w:val="0044764C"/>
    <w:rsid w:val="004601CE"/>
    <w:rsid w:val="00490969"/>
    <w:rsid w:val="004A391D"/>
    <w:rsid w:val="004A43AD"/>
    <w:rsid w:val="004F0BCF"/>
    <w:rsid w:val="00583EBA"/>
    <w:rsid w:val="005E3960"/>
    <w:rsid w:val="00602240"/>
    <w:rsid w:val="006360A7"/>
    <w:rsid w:val="00685040"/>
    <w:rsid w:val="006A0043"/>
    <w:rsid w:val="006B1374"/>
    <w:rsid w:val="0073245C"/>
    <w:rsid w:val="007448F4"/>
    <w:rsid w:val="007641A3"/>
    <w:rsid w:val="007A511D"/>
    <w:rsid w:val="007A5584"/>
    <w:rsid w:val="007B3AE6"/>
    <w:rsid w:val="007B4517"/>
    <w:rsid w:val="007B643B"/>
    <w:rsid w:val="007D3E9B"/>
    <w:rsid w:val="007F5C6B"/>
    <w:rsid w:val="00820AF9"/>
    <w:rsid w:val="00822FFE"/>
    <w:rsid w:val="00851949"/>
    <w:rsid w:val="00866687"/>
    <w:rsid w:val="00884B40"/>
    <w:rsid w:val="00892735"/>
    <w:rsid w:val="008E3F13"/>
    <w:rsid w:val="00905CCB"/>
    <w:rsid w:val="009749CE"/>
    <w:rsid w:val="00A00125"/>
    <w:rsid w:val="00A22175"/>
    <w:rsid w:val="00A464B3"/>
    <w:rsid w:val="00A703C6"/>
    <w:rsid w:val="00A80C13"/>
    <w:rsid w:val="00A842C0"/>
    <w:rsid w:val="00AB5A9E"/>
    <w:rsid w:val="00AB6AE2"/>
    <w:rsid w:val="00B14118"/>
    <w:rsid w:val="00B46996"/>
    <w:rsid w:val="00B53248"/>
    <w:rsid w:val="00B54FDB"/>
    <w:rsid w:val="00B63E9A"/>
    <w:rsid w:val="00BA1859"/>
    <w:rsid w:val="00BB6E2C"/>
    <w:rsid w:val="00BE04BB"/>
    <w:rsid w:val="00BF4FF8"/>
    <w:rsid w:val="00C4549F"/>
    <w:rsid w:val="00C56400"/>
    <w:rsid w:val="00C724F9"/>
    <w:rsid w:val="00CF1931"/>
    <w:rsid w:val="00D05ADD"/>
    <w:rsid w:val="00D279CB"/>
    <w:rsid w:val="00D3132F"/>
    <w:rsid w:val="00D97762"/>
    <w:rsid w:val="00DA1691"/>
    <w:rsid w:val="00DB5AA8"/>
    <w:rsid w:val="00E724DD"/>
    <w:rsid w:val="00ED34E5"/>
    <w:rsid w:val="00EF5E95"/>
    <w:rsid w:val="00F76756"/>
    <w:rsid w:val="00F857AA"/>
    <w:rsid w:val="00FE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0D39"/>
  <w15:chartTrackingRefBased/>
  <w15:docId w15:val="{A7136506-000B-4A7A-899A-2210E8E3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54FDB"/>
    <w:pPr>
      <w:widowControl w:val="0"/>
      <w:autoSpaceDE w:val="0"/>
      <w:autoSpaceDN w:val="0"/>
      <w:spacing w:line="240" w:lineRule="auto"/>
      <w:ind w:left="119" w:hanging="447"/>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842C0"/>
    <w:rPr>
      <w:b/>
      <w:bCs/>
    </w:rPr>
  </w:style>
  <w:style w:type="character" w:styleId="Hyperlink">
    <w:name w:val="Hyperlink"/>
    <w:basedOn w:val="DefaultParagraphFont"/>
    <w:uiPriority w:val="99"/>
    <w:semiHidden/>
    <w:unhideWhenUsed/>
    <w:rsid w:val="00A842C0"/>
    <w:rPr>
      <w:color w:val="0000FF"/>
      <w:u w:val="single"/>
    </w:rPr>
  </w:style>
  <w:style w:type="character" w:styleId="Emphasis">
    <w:name w:val="Emphasis"/>
    <w:basedOn w:val="DefaultParagraphFont"/>
    <w:uiPriority w:val="20"/>
    <w:qFormat/>
    <w:rsid w:val="00A842C0"/>
    <w:rPr>
      <w:i/>
      <w:iCs/>
    </w:rPr>
  </w:style>
  <w:style w:type="character" w:styleId="FollowedHyperlink">
    <w:name w:val="FollowedHyperlink"/>
    <w:basedOn w:val="DefaultParagraphFont"/>
    <w:uiPriority w:val="99"/>
    <w:semiHidden/>
    <w:unhideWhenUsed/>
    <w:rsid w:val="00E724DD"/>
    <w:rPr>
      <w:color w:val="954F72" w:themeColor="followedHyperlink"/>
      <w:u w:val="single"/>
    </w:rPr>
  </w:style>
  <w:style w:type="character" w:customStyle="1" w:styleId="Heading1Char">
    <w:name w:val="Heading 1 Char"/>
    <w:basedOn w:val="DefaultParagraphFont"/>
    <w:link w:val="Heading1"/>
    <w:uiPriority w:val="1"/>
    <w:rsid w:val="00B54FDB"/>
    <w:rPr>
      <w:rFonts w:eastAsia="Times New Roman" w:cs="Times New Roman"/>
      <w:b/>
      <w:bCs/>
    </w:rPr>
  </w:style>
  <w:style w:type="paragraph" w:styleId="BodyText">
    <w:name w:val="Body Text"/>
    <w:basedOn w:val="Normal"/>
    <w:link w:val="BodyTextChar"/>
    <w:uiPriority w:val="1"/>
    <w:qFormat/>
    <w:rsid w:val="00B54FDB"/>
    <w:pPr>
      <w:widowControl w:val="0"/>
      <w:autoSpaceDE w:val="0"/>
      <w:autoSpaceDN w:val="0"/>
      <w:spacing w:line="240" w:lineRule="auto"/>
    </w:pPr>
    <w:rPr>
      <w:rFonts w:eastAsia="Times New Roman" w:cs="Times New Roman"/>
    </w:rPr>
  </w:style>
  <w:style w:type="character" w:customStyle="1" w:styleId="BodyTextChar">
    <w:name w:val="Body Text Char"/>
    <w:basedOn w:val="DefaultParagraphFont"/>
    <w:link w:val="BodyText"/>
    <w:uiPriority w:val="1"/>
    <w:rsid w:val="00B54FDB"/>
    <w:rPr>
      <w:rFonts w:eastAsia="Times New Roman" w:cs="Times New Roman"/>
    </w:rPr>
  </w:style>
  <w:style w:type="paragraph" w:styleId="Header">
    <w:name w:val="header"/>
    <w:basedOn w:val="Normal"/>
    <w:link w:val="HeaderChar"/>
    <w:uiPriority w:val="99"/>
    <w:unhideWhenUsed/>
    <w:rsid w:val="00A00125"/>
    <w:pPr>
      <w:tabs>
        <w:tab w:val="center" w:pos="4680"/>
        <w:tab w:val="right" w:pos="9360"/>
      </w:tabs>
      <w:spacing w:line="240" w:lineRule="auto"/>
    </w:pPr>
  </w:style>
  <w:style w:type="character" w:customStyle="1" w:styleId="HeaderChar">
    <w:name w:val="Header Char"/>
    <w:basedOn w:val="DefaultParagraphFont"/>
    <w:link w:val="Header"/>
    <w:uiPriority w:val="99"/>
    <w:rsid w:val="00A00125"/>
  </w:style>
  <w:style w:type="paragraph" w:styleId="Footer">
    <w:name w:val="footer"/>
    <w:basedOn w:val="Normal"/>
    <w:link w:val="FooterChar"/>
    <w:uiPriority w:val="99"/>
    <w:unhideWhenUsed/>
    <w:rsid w:val="00A00125"/>
    <w:pPr>
      <w:tabs>
        <w:tab w:val="center" w:pos="4680"/>
        <w:tab w:val="right" w:pos="9360"/>
      </w:tabs>
      <w:spacing w:line="240" w:lineRule="auto"/>
    </w:pPr>
  </w:style>
  <w:style w:type="character" w:customStyle="1" w:styleId="FooterChar">
    <w:name w:val="Footer Char"/>
    <w:basedOn w:val="DefaultParagraphFont"/>
    <w:link w:val="Footer"/>
    <w:uiPriority w:val="99"/>
    <w:rsid w:val="00A00125"/>
  </w:style>
  <w:style w:type="paragraph" w:styleId="Revision">
    <w:name w:val="Revision"/>
    <w:hidden/>
    <w:uiPriority w:val="99"/>
    <w:semiHidden/>
    <w:rsid w:val="006B13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5516">
      <w:bodyDiv w:val="1"/>
      <w:marLeft w:val="0"/>
      <w:marRight w:val="0"/>
      <w:marTop w:val="0"/>
      <w:marBottom w:val="0"/>
      <w:divBdr>
        <w:top w:val="none" w:sz="0" w:space="0" w:color="auto"/>
        <w:left w:val="none" w:sz="0" w:space="0" w:color="auto"/>
        <w:bottom w:val="none" w:sz="0" w:space="0" w:color="auto"/>
        <w:right w:val="none" w:sz="0" w:space="0" w:color="auto"/>
      </w:divBdr>
    </w:div>
    <w:div w:id="1530677395">
      <w:bodyDiv w:val="1"/>
      <w:marLeft w:val="0"/>
      <w:marRight w:val="0"/>
      <w:marTop w:val="0"/>
      <w:marBottom w:val="0"/>
      <w:divBdr>
        <w:top w:val="none" w:sz="0" w:space="0" w:color="auto"/>
        <w:left w:val="none" w:sz="0" w:space="0" w:color="auto"/>
        <w:bottom w:val="none" w:sz="0" w:space="0" w:color="auto"/>
        <w:right w:val="none" w:sz="0" w:space="0" w:color="auto"/>
      </w:divBdr>
    </w:div>
    <w:div w:id="1594819435">
      <w:bodyDiv w:val="1"/>
      <w:marLeft w:val="0"/>
      <w:marRight w:val="0"/>
      <w:marTop w:val="0"/>
      <w:marBottom w:val="0"/>
      <w:divBdr>
        <w:top w:val="none" w:sz="0" w:space="0" w:color="auto"/>
        <w:left w:val="none" w:sz="0" w:space="0" w:color="auto"/>
        <w:bottom w:val="none" w:sz="0" w:space="0" w:color="auto"/>
        <w:right w:val="none" w:sz="0" w:space="0" w:color="auto"/>
      </w:divBdr>
    </w:div>
    <w:div w:id="1926378110">
      <w:bodyDiv w:val="1"/>
      <w:marLeft w:val="0"/>
      <w:marRight w:val="0"/>
      <w:marTop w:val="0"/>
      <w:marBottom w:val="0"/>
      <w:divBdr>
        <w:top w:val="none" w:sz="0" w:space="0" w:color="auto"/>
        <w:left w:val="none" w:sz="0" w:space="0" w:color="auto"/>
        <w:bottom w:val="none" w:sz="0" w:space="0" w:color="auto"/>
        <w:right w:val="none" w:sz="0" w:space="0" w:color="auto"/>
      </w:divBdr>
    </w:div>
    <w:div w:id="1981374424">
      <w:bodyDiv w:val="1"/>
      <w:marLeft w:val="0"/>
      <w:marRight w:val="0"/>
      <w:marTop w:val="0"/>
      <w:marBottom w:val="0"/>
      <w:divBdr>
        <w:top w:val="none" w:sz="0" w:space="0" w:color="auto"/>
        <w:left w:val="none" w:sz="0" w:space="0" w:color="auto"/>
        <w:bottom w:val="none" w:sz="0" w:space="0" w:color="auto"/>
        <w:right w:val="none" w:sz="0" w:space="0" w:color="auto"/>
      </w:divBdr>
    </w:div>
    <w:div w:id="2009863301">
      <w:bodyDiv w:val="1"/>
      <w:marLeft w:val="0"/>
      <w:marRight w:val="0"/>
      <w:marTop w:val="0"/>
      <w:marBottom w:val="0"/>
      <w:divBdr>
        <w:top w:val="none" w:sz="0" w:space="0" w:color="auto"/>
        <w:left w:val="none" w:sz="0" w:space="0" w:color="auto"/>
        <w:bottom w:val="none" w:sz="0" w:space="0" w:color="auto"/>
        <w:right w:val="none" w:sz="0" w:space="0" w:color="auto"/>
      </w:divBdr>
    </w:div>
    <w:div w:id="21450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ourts.ca.gov/1124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ellate.courts.ca.gov/node/6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878</Words>
  <Characters>5011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Peter</dc:creator>
  <cp:keywords/>
  <dc:description/>
  <cp:lastModifiedBy>Johnson, Charles</cp:lastModifiedBy>
  <cp:revision>2</cp:revision>
  <cp:lastPrinted>2023-03-09T16:18:00Z</cp:lastPrinted>
  <dcterms:created xsi:type="dcterms:W3CDTF">2026-06-10T15:11:00Z</dcterms:created>
  <dcterms:modified xsi:type="dcterms:W3CDTF">2026-06-10T15:11:00Z</dcterms:modified>
</cp:coreProperties>
</file>